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ind w:leftChars="0"/>
        <w:jc w:val="center"/>
        <w:rPr>
          <w:rStyle w:val="10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u w:val="none"/>
          <w:shd w:val="clear" w:fill="FFFFFF"/>
        </w:rPr>
      </w:pPr>
      <w:bookmarkStart w:id="0" w:name="_Toc23684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社团管理服务平台</w:t>
      </w:r>
      <w:bookmarkEnd w:id="0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-年报管理服务</w:t>
      </w:r>
      <w:bookmarkStart w:id="3" w:name="_GoBack"/>
      <w:bookmarkEnd w:id="3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指南</w:t>
      </w:r>
    </w:p>
    <w:p>
      <w:pPr>
        <w:pStyle w:val="3"/>
        <w:numPr>
          <w:ilvl w:val="1"/>
          <w:numId w:val="0"/>
        </w:numPr>
        <w:tabs>
          <w:tab w:val="left" w:pos="0"/>
        </w:tabs>
        <w:bidi w:val="0"/>
        <w:ind w:leftChars="0"/>
        <w:rPr>
          <w:rFonts w:hint="default"/>
          <w:lang w:val="en-US" w:eastAsia="zh-CN"/>
        </w:rPr>
      </w:pPr>
      <w:bookmarkStart w:id="1" w:name="_Toc534"/>
      <w:r>
        <w:rPr>
          <w:rFonts w:hint="eastAsia"/>
          <w:lang w:val="en-US" w:eastAsia="zh-CN"/>
        </w:rPr>
        <w:t>一、模块简介</w:t>
      </w:r>
      <w:bookmarkEnd w:id="1"/>
      <w:r>
        <w:rPr>
          <w:rFonts w:hint="eastAsia"/>
          <w:lang w:val="en-US" w:eastAsia="zh-CN"/>
        </w:rPr>
        <w:t xml:space="preserve"> </w:t>
      </w:r>
    </w:p>
    <w:p>
      <w:p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年报管理主要为社团提供上传年报的服务。</w:t>
      </w: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247900" cy="10477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0"/>
        </w:numPr>
        <w:tabs>
          <w:tab w:val="left" w:pos="0"/>
        </w:tabs>
        <w:bidi w:val="0"/>
        <w:ind w:leftChars="0"/>
        <w:rPr>
          <w:rFonts w:hint="eastAsia"/>
          <w:lang w:val="en-US" w:eastAsia="zh-CN"/>
        </w:rPr>
      </w:pPr>
      <w:bookmarkStart w:id="2" w:name="_Toc2849"/>
      <w:r>
        <w:rPr>
          <w:rFonts w:hint="eastAsia"/>
          <w:lang w:val="en-US" w:eastAsia="zh-CN"/>
        </w:rPr>
        <w:t>二、操作步骤</w:t>
      </w:r>
      <w:bookmarkEnd w:id="2"/>
    </w:p>
    <w:p>
      <w:p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1. 点击年报管理。</w:t>
      </w:r>
    </w:p>
    <w:p>
      <w:pPr>
        <w:bidi w:val="0"/>
        <w:spacing w:line="360" w:lineRule="auto"/>
      </w:pPr>
      <w:r>
        <w:drawing>
          <wp:inline distT="0" distB="0" distL="114300" distR="114300">
            <wp:extent cx="5269865" cy="1322705"/>
            <wp:effectExtent l="0" t="0" r="63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spacing w:line="360" w:lineRule="auto"/>
        <w:ind w:firstLine="560" w:firstLineChars="200"/>
        <w:rPr>
          <w:rFonts w:hint="eastAsia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点击新建，选择要上传的年报年份后点击确定。</w:t>
      </w:r>
    </w:p>
    <w:p>
      <w:pPr>
        <w:bidi w:val="0"/>
        <w:spacing w:line="360" w:lineRule="auto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3130550" cy="1949450"/>
            <wp:effectExtent l="0" t="0" r="635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055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spacing w:line="360" w:lineRule="auto"/>
        <w:ind w:left="0" w:leftChars="0"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点击上传按钮，上传社团的年度报告，仅支持PDF格式文件。</w:t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68595" cy="722630"/>
            <wp:effectExtent l="0" t="0" r="1905" b="1270"/>
            <wp:docPr id="125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68595" cy="1121410"/>
            <wp:effectExtent l="0" t="0" r="1905" b="8890"/>
            <wp:docPr id="126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ind w:firstLine="560" w:firstLineChars="200"/>
        <w:rPr>
          <w:rFonts w:hint="default" w:ascii="Times New Roman" w:hAnsi="Times New Roman" w:eastAsia="仿宋"/>
          <w:sz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上传完成后，可以点击查看按钮查看上传的年度报告。</w:t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68595" cy="706120"/>
            <wp:effectExtent l="0" t="0" r="1905" b="5080"/>
            <wp:docPr id="127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1771650"/>
            <wp:effectExtent l="0" t="0" r="1905" b="6350"/>
            <wp:docPr id="12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9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阿里健康体2.0 中文 85 B">
    <w:panose1 w:val="020007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360" w:lineRule="auto"/>
      <w:ind w:firstLine="360" w:firstLineChars="20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spacing w:line="360" w:lineRule="auto"/>
                            <w:ind w:firstLine="360" w:firstLineChars="200"/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</w:pP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第 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begin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separate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>1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end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spacing w:line="360" w:lineRule="auto"/>
                      <w:ind w:firstLine="360" w:firstLineChars="200"/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</w:pP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第 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begin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instrText xml:space="preserve"> PAGE  \* MERGEFORMAT </w:instrTex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separate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>1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end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left="0" w:leftChars="0" w:firstLine="0" w:firstLineChars="0"/>
      <w:jc w:val="center"/>
    </w:pPr>
    <w:r>
      <w:rPr>
        <w:rFonts w:hint="eastAsia" w:ascii="阿里健康体2.0 中文 85 B" w:hAnsi="阿里健康体2.0 中文 85 B" w:eastAsia="阿里健康体2.0 中文 85 B" w:cs="阿里健康体2.0 中文 85 B"/>
        <w:spacing w:val="20"/>
        <w:sz w:val="18"/>
        <w:lang w:val="en-US" w:eastAsia="zh-CN"/>
      </w:rPr>
      <w:t>山东省社会科学界联合</w:t>
    </w:r>
    <w:r>
      <w:rPr>
        <w:rFonts w:hint="eastAsia" w:ascii="阿里健康体2.0 中文 85 B" w:hAnsi="阿里健康体2.0 中文 85 B" w:eastAsia="阿里健康体2.0 中文 85 B" w:cs="阿里健康体2.0 中文 85 B"/>
        <w:lang w:val="en-US" w:eastAsia="zh-CN"/>
      </w:rPr>
      <w:t>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450733"/>
    <w:multiLevelType w:val="singleLevel"/>
    <w:tmpl w:val="AF45073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D86213D0"/>
    <w:multiLevelType w:val="multilevel"/>
    <w:tmpl w:val="D86213D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iYTc5NTNmZDA4MTliOGI0YzM2NzNkNzJjNjM5NmYifQ=="/>
  </w:docVars>
  <w:rsids>
    <w:rsidRoot w:val="4F3E169D"/>
    <w:rsid w:val="0553214E"/>
    <w:rsid w:val="0DEC6564"/>
    <w:rsid w:val="13C65400"/>
    <w:rsid w:val="161D17E0"/>
    <w:rsid w:val="20294D50"/>
    <w:rsid w:val="25A45DD1"/>
    <w:rsid w:val="29C25891"/>
    <w:rsid w:val="3824243F"/>
    <w:rsid w:val="392C51DC"/>
    <w:rsid w:val="3C883ADB"/>
    <w:rsid w:val="453C1F26"/>
    <w:rsid w:val="4F3E169D"/>
    <w:rsid w:val="58A310F9"/>
    <w:rsid w:val="599F65B8"/>
    <w:rsid w:val="677862CF"/>
    <w:rsid w:val="6E9A180A"/>
    <w:rsid w:val="766665D5"/>
    <w:rsid w:val="7810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numPr>
        <w:ilvl w:val="0"/>
        <w:numId w:val="1"/>
      </w:numPr>
      <w:spacing w:before="50" w:beforeLines="50" w:after="50" w:after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next w:val="1"/>
    <w:unhideWhenUsed/>
    <w:qFormat/>
    <w:uiPriority w:val="9"/>
    <w:pPr>
      <w:numPr>
        <w:ilvl w:val="1"/>
        <w:numId w:val="1"/>
      </w:numPr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paragraph" w:styleId="4">
    <w:name w:val="heading 3"/>
    <w:next w:val="1"/>
    <w:unhideWhenUsed/>
    <w:qFormat/>
    <w:uiPriority w:val="9"/>
    <w:pPr>
      <w:numPr>
        <w:ilvl w:val="2"/>
        <w:numId w:val="1"/>
      </w:numPr>
      <w:tabs>
        <w:tab w:val="left" w:pos="312"/>
      </w:tabs>
      <w:ind w:left="0" w:firstLine="400"/>
      <w:outlineLvl w:val="2"/>
    </w:pPr>
    <w:rPr>
      <w:rFonts w:ascii="Arial" w:hAnsi="Arial" w:eastAsia="黑体" w:cstheme="minorBidi"/>
      <w:b/>
      <w:kern w:val="2"/>
      <w:sz w:val="30"/>
      <w:szCs w:val="30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paragraph" w:customStyle="1" w:styleId="11">
    <w:name w:val="二级标题"/>
    <w:next w:val="1"/>
    <w:autoRedefine/>
    <w:qFormat/>
    <w:uiPriority w:val="0"/>
    <w:pPr>
      <w:keepNext/>
      <w:keepLines/>
      <w:ind w:firstLine="656"/>
      <w:outlineLvl w:val="1"/>
    </w:pPr>
    <w:rPr>
      <w:rFonts w:hint="eastAsia" w:ascii="Arial" w:hAnsi="Arial" w:eastAsia="楷体_GB2312" w:cstheme="minorBidi"/>
      <w:color w:val="auto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2024-03-05T06:14:00Z</dcterms:created>
  <dc:creator>酒念</dc:creator>
  <cp:lastModifiedBy>Bzlg</cp:lastModifiedBy>
  <dcterms:modified xsi:type="dcterms:W3CDTF">2024-03-05T09:35:11Z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1ABB937DD37F4D0DBD37E29F37B7AE9B_13</vt:lpwstr>
  </property>
</Properties>
</file>