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ascii="方正小标宋简体" w:hAnsi="方正小标宋简体" w:eastAsia="方正小标宋简体" w:cs="方正小标宋简体"/>
          <w:color w:val="000000"/>
          <w:kern w:val="0"/>
          <w:sz w:val="44"/>
          <w:szCs w:val="44"/>
          <w:lang w:val="en-US" w:eastAsia="zh-CN" w:bidi="ar"/>
        </w:rPr>
        <w:t>202</w:t>
      </w:r>
      <w:r>
        <w:rPr>
          <w:rFonts w:hint="eastAsia" w:ascii="方正小标宋简体" w:hAnsi="方正小标宋简体" w:eastAsia="方正小标宋简体" w:cs="方正小标宋简体"/>
          <w:color w:val="000000"/>
          <w:kern w:val="0"/>
          <w:sz w:val="44"/>
          <w:szCs w:val="44"/>
          <w:lang w:val="en-US" w:eastAsia="zh-CN" w:bidi="ar"/>
        </w:rPr>
        <w:t>4</w:t>
      </w:r>
      <w:r>
        <w:rPr>
          <w:rFonts w:ascii="方正小标宋简体" w:hAnsi="方正小标宋简体" w:eastAsia="方正小标宋简体" w:cs="方正小标宋简体"/>
          <w:color w:val="000000"/>
          <w:kern w:val="0"/>
          <w:sz w:val="44"/>
          <w:szCs w:val="44"/>
          <w:lang w:val="en-US" w:eastAsia="zh-CN" w:bidi="ar"/>
        </w:rPr>
        <w:t>年</w:t>
      </w:r>
      <w:r>
        <w:rPr>
          <w:rFonts w:hint="eastAsia" w:ascii="方正小标宋简体" w:hAnsi="方正小标宋简体" w:eastAsia="方正小标宋简体" w:cs="方正小标宋简体"/>
          <w:color w:val="000000"/>
          <w:kern w:val="0"/>
          <w:sz w:val="44"/>
          <w:szCs w:val="44"/>
          <w:lang w:val="en-US" w:eastAsia="zh-CN" w:bidi="ar"/>
        </w:rPr>
        <w:t>校级</w:t>
      </w:r>
      <w:r>
        <w:rPr>
          <w:rFonts w:ascii="方正小标宋简体" w:hAnsi="方正小标宋简体" w:eastAsia="方正小标宋简体" w:cs="方正小标宋简体"/>
          <w:color w:val="000000"/>
          <w:kern w:val="0"/>
          <w:sz w:val="44"/>
          <w:szCs w:val="44"/>
          <w:lang w:val="en-US" w:eastAsia="zh-CN" w:bidi="ar"/>
        </w:rPr>
        <w:t>教改重</w:t>
      </w:r>
      <w:r>
        <w:rPr>
          <w:rFonts w:hint="eastAsia" w:ascii="方正小标宋简体" w:hAnsi="方正小标宋简体" w:eastAsia="方正小标宋简体" w:cs="方正小标宋简体"/>
          <w:color w:val="000000"/>
          <w:kern w:val="0"/>
          <w:sz w:val="44"/>
          <w:szCs w:val="44"/>
          <w:lang w:val="en-US" w:eastAsia="zh-CN" w:bidi="ar"/>
        </w:rPr>
        <w:t>点项目立项选题范围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jc w:val="left"/>
        <w:textAlignment w:val="auto"/>
        <w:rPr>
          <w:rFonts w:hint="eastAsia" w:ascii="宋体" w:hAnsi="宋体" w:cs="宋体"/>
          <w:color w:val="000000"/>
          <w:kern w:val="0"/>
          <w:sz w:val="24"/>
          <w:szCs w:val="24"/>
          <w:lang w:val="en-US" w:eastAsia="zh-CN" w:bidi="ar"/>
        </w:rPr>
      </w:pP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一、应用型本科高校建设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000000"/>
          <w:sz w:val="32"/>
          <w:szCs w:val="32"/>
          <w:lang w:val="en-US" w:eastAsia="zh-CN"/>
        </w:rPr>
      </w:pPr>
      <w:r>
        <w:rPr>
          <w:rFonts w:hint="eastAsia" w:ascii="仿宋_GB2312" w:hAnsi="仿宋_GB2312" w:eastAsia="仿宋_GB2312" w:cs="仿宋_GB2312"/>
          <w:b w:val="0"/>
          <w:bCs w:val="0"/>
          <w:i w:val="0"/>
          <w:iCs w:val="0"/>
          <w:color w:val="000000"/>
          <w:sz w:val="32"/>
          <w:szCs w:val="32"/>
          <w:lang w:val="en-US" w:eastAsia="zh-CN"/>
        </w:rPr>
        <w:t>该选题每个学院限报1项。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围绕学校应用型本科高校发展定位，</w:t>
      </w:r>
      <w:r>
        <w:rPr>
          <w:rFonts w:hint="eastAsia" w:ascii="仿宋_GB2312" w:hAnsi="仿宋_GB2312" w:eastAsia="仿宋_GB2312" w:cs="仿宋_GB2312"/>
          <w:color w:val="000000" w:themeColor="text1"/>
          <w:sz w:val="32"/>
          <w:szCs w:val="32"/>
          <w14:textFill>
            <w14:solidFill>
              <w14:schemeClr w14:val="tx1"/>
            </w14:solidFill>
          </w14:textFill>
        </w:rPr>
        <w:t>面向山东省“十强产业”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中的“新一代信息技术”“现代金融服务”“文化创意”三个关键领域，研究重组人才培养结构，调整优化学科专业设置，使学校学科专业发展结构更加适应区域经济发展需求。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对标应用型本科高校建设标准，加强教学建设，深化产教融合，</w:t>
      </w:r>
      <w:r>
        <w:rPr>
          <w:rFonts w:hint="eastAsia" w:ascii="仿宋_GB2312" w:hAnsi="仿宋_GB2312" w:eastAsia="仿宋_GB2312" w:cs="仿宋_GB2312"/>
          <w:color w:val="000000" w:themeColor="text1"/>
          <w:kern w:val="0"/>
          <w:sz w:val="32"/>
          <w:szCs w:val="32"/>
          <w14:textFill>
            <w14:solidFill>
              <w14:schemeClr w14:val="tx1"/>
            </w14:solidFill>
          </w14:textFill>
        </w:rPr>
        <w:t>深入推进</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“政校行企”合作模式，</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快速形成高水平应用型人才培养体系。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加强新文科、新工科建设，</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推进“商工融和、以文化人”特色发展，逐步形成经管优势突出，商科教育、人文教育与工科教育相互渗透的“大商科”教育特色。</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二、学科专业调整机制建设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该选题每个学院限报1项。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贯彻落实教育部等五部门《普通高等教育学科专业设置调整优化改革方案》文件精神，</w:t>
      </w: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围绕学校学科专业发展整体规划，调研分析国家战略和山东省重点产业人才需求与我校学科专业建设的内在关系，深入分析现有学科专业的优势和不足，探索建立符合我校办学定位和目标的学科专业</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动态调整机制和评价体系，</w:t>
      </w: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致力</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跨学科、跨领域的研究与合作，</w:t>
      </w: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积极</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推动学科交叉融合、</w:t>
      </w: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新兴专业培育，</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加强对传统学科的改造升级，提高学科竞争力，探索专业特色学院、</w:t>
      </w: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未来技术学院建设的有效路径。</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三、高等教育数字化建设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32"/>
          <w:szCs w:val="32"/>
          <w:lang w:val="en-US" w:eastAsia="zh-CN"/>
          <w14:textFill>
            <w14:solidFill>
              <w14:schemeClr w14:val="tx1"/>
            </w14:solidFill>
          </w14:textFill>
        </w:rPr>
        <w:t>该选题每个学院限报2项。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贯彻落实国家教育数字化战略行动部署要求，积极推进教育数字化转型和智能化升级，</w:t>
      </w:r>
      <w:r>
        <w:rPr>
          <w:rFonts w:hint="eastAsia" w:ascii="仿宋_GB2312" w:hAnsi="仿宋_GB2312" w:eastAsia="仿宋_GB2312" w:cs="仿宋_GB2312"/>
          <w:b w:val="0"/>
          <w:bCs w:val="0"/>
          <w:i w:val="0"/>
          <w:iCs w:val="0"/>
          <w:caps w:val="0"/>
          <w:color w:val="000000" w:themeColor="text1"/>
          <w:spacing w:val="0"/>
          <w:sz w:val="32"/>
          <w:szCs w:val="32"/>
          <w:shd w:val="clear" w:fill="FFFFFF"/>
          <w:lang w:val="en-US" w:eastAsia="zh-CN"/>
          <w14:textFill>
            <w14:solidFill>
              <w14:schemeClr w14:val="tx1"/>
            </w14:solidFill>
          </w14:textFill>
        </w:rPr>
        <w:t>探索“数智+”专业改造升级的有效途径，</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聚焦</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数字能赋能教育建设研究，深化数智赋能教学模式改革，加快优质数字化教学资源、典型案例的开发建设，建立完善数字化教学评价机制，探索建立数智化人才培养机制。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四、课程思政协同育人模式构建研究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000000"/>
          <w:sz w:val="32"/>
          <w:szCs w:val="32"/>
          <w:lang w:val="en-US" w:eastAsia="zh-CN"/>
        </w:rPr>
      </w:pPr>
      <w:r>
        <w:rPr>
          <w:rFonts w:hint="eastAsia" w:ascii="仿宋_GB2312" w:hAnsi="仿宋_GB2312" w:eastAsia="仿宋_GB2312" w:cs="仿宋_GB2312"/>
          <w:b w:val="0"/>
          <w:bCs w:val="0"/>
          <w:i w:val="0"/>
          <w:iCs w:val="0"/>
          <w:color w:val="000000"/>
          <w:sz w:val="32"/>
          <w:szCs w:val="32"/>
          <w:lang w:val="en-US" w:eastAsia="zh-CN"/>
        </w:rPr>
        <w:t>该选题每个学院限报1项。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深入贯彻落实《高等学校课程思政建设指导纲要》、《关于深入推进高等学校课程思政建设的实施意见》文件精神，全面提升学校课程思政建设水平，结合专业特色优势，构建课程思政与思政课程协同育人模式，完善课程思政育人效果评价体系，构建课程思政一体化建设，实现思政教育途径多元化，形成与思政课同向同行的“大思政”育人格局。</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五、课堂教学改革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该选题每个学院限报2项。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sz w:val="32"/>
          <w:szCs w:val="32"/>
        </w:rPr>
        <w:t>贯彻落实山东省教育厅《关于推动课堂教学改革全面提高普通本科高校人才培养质量的通知》</w:t>
      </w:r>
      <w:r>
        <w:rPr>
          <w:rFonts w:hint="eastAsia" w:ascii="仿宋_GB2312" w:hAnsi="仿宋_GB2312" w:eastAsia="仿宋_GB2312" w:cs="仿宋_GB2312"/>
          <w:color w:val="000000"/>
          <w:sz w:val="32"/>
          <w:szCs w:val="32"/>
          <w:lang w:eastAsia="zh-CN"/>
        </w:rPr>
        <w:t>《山东财经大学东方学院课堂教学改革实施方案》要求，</w:t>
      </w:r>
      <w:r>
        <w:rPr>
          <w:rFonts w:hint="eastAsia" w:ascii="仿宋_GB2312" w:hAnsi="仿宋_GB2312" w:eastAsia="仿宋_GB2312" w:cs="仿宋_GB2312"/>
          <w:sz w:val="32"/>
          <w:szCs w:val="32"/>
        </w:rPr>
        <w:t>立足</w:t>
      </w:r>
      <w:r>
        <w:rPr>
          <w:rFonts w:hint="eastAsia" w:ascii="仿宋_GB2312" w:hAnsi="仿宋_GB2312" w:eastAsia="仿宋_GB2312" w:cs="仿宋_GB2312"/>
          <w:sz w:val="32"/>
          <w:szCs w:val="32"/>
          <w:lang w:eastAsia="zh-CN"/>
        </w:rPr>
        <w:t>本学院</w:t>
      </w:r>
      <w:r>
        <w:rPr>
          <w:rFonts w:hint="eastAsia" w:ascii="仿宋_GB2312" w:hAnsi="仿宋_GB2312" w:eastAsia="仿宋_GB2312" w:cs="仿宋_GB2312"/>
          <w:sz w:val="32"/>
          <w:szCs w:val="32"/>
        </w:rPr>
        <w:t>学科专业特点，</w:t>
      </w:r>
      <w:r>
        <w:rPr>
          <w:rFonts w:hint="eastAsia" w:ascii="仿宋_GB2312" w:hAnsi="仿宋_GB2312" w:eastAsia="仿宋_GB2312" w:cs="仿宋_GB2312"/>
          <w:sz w:val="32"/>
          <w:szCs w:val="32"/>
          <w:lang w:eastAsia="zh-CN"/>
        </w:rPr>
        <w:t>加强</w:t>
      </w:r>
      <w:r>
        <w:rPr>
          <w:rFonts w:hint="eastAsia" w:ascii="仿宋_GB2312" w:hAnsi="仿宋_GB2312" w:eastAsia="仿宋_GB2312" w:cs="仿宋_GB2312"/>
          <w:sz w:val="32"/>
          <w:szCs w:val="32"/>
        </w:rPr>
        <w:t>课堂教学改革探索和实施研究，探索</w:t>
      </w:r>
      <w:r>
        <w:rPr>
          <w:rFonts w:hint="eastAsia" w:ascii="仿宋_GB2312" w:hAnsi="仿宋_GB2312" w:eastAsia="仿宋_GB2312" w:cs="仿宋_GB2312"/>
          <w:sz w:val="32"/>
          <w:szCs w:val="32"/>
          <w:lang w:eastAsia="zh-CN"/>
        </w:rPr>
        <w:t>突出</w:t>
      </w:r>
      <w:r>
        <w:rPr>
          <w:rFonts w:hint="eastAsia" w:ascii="仿宋_GB2312" w:hAnsi="仿宋_GB2312" w:eastAsia="仿宋_GB2312" w:cs="仿宋_GB2312"/>
          <w:sz w:val="32"/>
          <w:szCs w:val="32"/>
        </w:rPr>
        <w:t>专业特色的课堂教学改革</w:t>
      </w:r>
      <w:r>
        <w:rPr>
          <w:rFonts w:hint="eastAsia" w:ascii="仿宋_GB2312" w:hAnsi="仿宋_GB2312" w:eastAsia="仿宋_GB2312" w:cs="仿宋_GB2312"/>
          <w:sz w:val="32"/>
          <w:szCs w:val="32"/>
          <w:lang w:eastAsia="zh-CN"/>
        </w:rPr>
        <w:t>模式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科学设计学业评价标准和程序，</w:t>
      </w:r>
      <w:r>
        <w:rPr>
          <w:rFonts w:hint="eastAsia" w:ascii="仿宋_GB2312" w:hAnsi="仿宋_GB2312" w:eastAsia="仿宋_GB2312" w:cs="仿宋_GB2312"/>
          <w:color w:val="000000"/>
          <w:sz w:val="32"/>
          <w:szCs w:val="32"/>
          <w:lang w:val="en-US" w:eastAsia="zh-CN"/>
        </w:rPr>
        <w:t>统筹推动教学理念、教学内容、教学模式、教学评价、教学管理和现代教学技术应用等一体化改革，</w:t>
      </w:r>
      <w:r>
        <w:rPr>
          <w:rFonts w:hint="eastAsia" w:ascii="仿宋_GB2312" w:hAnsi="仿宋_GB2312" w:eastAsia="仿宋_GB2312" w:cs="仿宋_GB2312"/>
          <w:sz w:val="32"/>
          <w:szCs w:val="32"/>
        </w:rPr>
        <w:t>争先打造一院一品、一课一品。</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六、现代职业教育体系建设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bookmarkStart w:id="0" w:name="_GoBack"/>
      <w:bookmarkEnd w:id="0"/>
      <w:r>
        <w:rPr>
          <w:rFonts w:hint="eastAsia" w:ascii="仿宋_GB2312" w:hAnsi="仿宋_GB2312" w:eastAsia="仿宋_GB2312" w:cs="仿宋_GB2312"/>
          <w:b w:val="0"/>
          <w:bCs w:val="0"/>
          <w:color w:val="000000"/>
          <w:sz w:val="32"/>
          <w:szCs w:val="32"/>
          <w:lang w:val="en-US" w:eastAsia="zh-CN"/>
        </w:rPr>
        <w:t>该选题面向设有专科、专升本专业的学院，每个学院限报1项。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kern w:val="0"/>
          <w:sz w:val="32"/>
          <w:szCs w:val="32"/>
          <w:lang w:val="en-US" w:eastAsia="zh-CN" w:bidi="ar"/>
        </w:rPr>
        <w:t>深入贯彻落实党中央关于职业教育工作的决策部署和习近平总书记有关重要</w:t>
      </w:r>
      <w:r>
        <w:rPr>
          <w:rFonts w:hint="eastAsia" w:ascii="仿宋_GB2312" w:hAnsi="仿宋_GB2312" w:eastAsia="仿宋_GB2312" w:cs="仿宋_GB2312"/>
          <w:sz w:val="32"/>
          <w:szCs w:val="32"/>
          <w:lang w:val="en-US" w:eastAsia="zh-CN"/>
        </w:rPr>
        <w:t>指示批示精神，根据《关于深化现代职业教育体系建设改革的意见》</w:t>
      </w:r>
      <w:r>
        <w:rPr>
          <w:rFonts w:hint="eastAsia" w:ascii="仿宋_GB2312" w:hAnsi="仿宋_GB2312" w:eastAsia="仿宋_GB2312" w:cs="仿宋_GB2312"/>
          <w:color w:val="000000"/>
          <w:kern w:val="0"/>
          <w:sz w:val="32"/>
          <w:szCs w:val="32"/>
          <w:lang w:val="en-US" w:eastAsia="zh-CN" w:bidi="ar"/>
        </w:rPr>
        <w:t>文件精神，拓宽学生成长成才通道，围绕技术技能人才培养目标，探索专科、专升本人才培养新模式，研究专业规划、人才培养规格确定、课程开发、实训项目、教学评价标准、学业考核评价、师资队伍建设等。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七、现代产业学院建设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i w:val="0"/>
          <w:iCs w:val="0"/>
          <w:color w:val="000000"/>
          <w:sz w:val="32"/>
          <w:szCs w:val="32"/>
          <w:lang w:val="en-US" w:eastAsia="zh-CN"/>
        </w:rPr>
      </w:pPr>
      <w:r>
        <w:rPr>
          <w:rFonts w:hint="eastAsia" w:ascii="仿宋_GB2312" w:hAnsi="仿宋_GB2312" w:eastAsia="仿宋_GB2312" w:cs="仿宋_GB2312"/>
          <w:b w:val="0"/>
          <w:bCs w:val="0"/>
          <w:i w:val="0"/>
          <w:iCs w:val="0"/>
          <w:color w:val="000000"/>
          <w:sz w:val="32"/>
          <w:szCs w:val="32"/>
          <w:lang w:val="en-US" w:eastAsia="zh-CN"/>
        </w:rPr>
        <w:t>该选题每个学院限报1项。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kern w:val="2"/>
          <w:sz w:val="32"/>
          <w:szCs w:val="32"/>
          <w:lang w:val="en-US" w:eastAsia="zh-CN" w:bidi="ar-SA"/>
        </w:rPr>
        <w:t>贯彻落实《教育部办公厅 工业和信息化部办公厅关于印发现代产业学院建设指南的通知（试行）》要求，</w:t>
      </w:r>
      <w:r>
        <w:rPr>
          <w:rFonts w:hint="eastAsia" w:ascii="仿宋_GB2312" w:hAnsi="仿宋_GB2312" w:eastAsia="仿宋_GB2312" w:cs="仿宋_GB2312"/>
          <w:b w:val="0"/>
          <w:bCs w:val="0"/>
          <w:color w:val="000000"/>
          <w:sz w:val="32"/>
          <w:szCs w:val="32"/>
          <w:lang w:val="en-US" w:eastAsia="zh-CN"/>
        </w:rPr>
        <w:t>以校企合作为基础，进一步完善协调育人机制，深化协同育人重点领域改革，健全培养目标协同、教师队伍协同、管理协同等机制，推进校企深度融合，加快发展新工科、新文科，探索以推动创新和产业发展为导向的本科教育新模式。</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八、基层教学组织建设</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 xml:space="preserve">  </w:t>
      </w:r>
      <w:r>
        <w:rPr>
          <w:rFonts w:hint="eastAsia" w:ascii="仿宋_GB2312" w:hAnsi="仿宋_GB2312" w:eastAsia="仿宋_GB2312" w:cs="仿宋_GB2312"/>
          <w:b w:val="0"/>
          <w:bCs w:val="0"/>
          <w:color w:val="000000"/>
          <w:sz w:val="32"/>
          <w:szCs w:val="32"/>
          <w:lang w:val="en-US" w:eastAsia="zh-CN"/>
        </w:rPr>
        <w:t xml:space="preserve">  该选题每个学院限报2项。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1.教研室类实体型教学组织。包括但不限于承担专业教学计划制定、实践教学环节组织、课程教学大纲制定、教材编写组织等具体日常教学工作的教研室、课程组等。主要包括：</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教研室文化建设，加强师德师风建设，激励广大教师坚持立德树人，努力成为"四有"好老师，促进学校教风建设。</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加强教研室制度建设，研究制定教研室工作计划，组织教师有序开展教研科研活动，形成集体备课、听课、评课、教学研究等工作常态化，不断提升教学和科研水平。</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制定教师成长计划，不断优化师资队伍职称结构；制定青年教师帮扶计划，通过以老带新等方式帮助青年教师快速成长等。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sz w:val="32"/>
          <w:szCs w:val="32"/>
          <w:lang w:val="en-US" w:eastAsia="zh-CN"/>
        </w:rPr>
        <w:t>2.虚拟教研室类基层教学组织。基于现代信息技术平台，以提高教师教育教学能力与水平为目标，跨课程群组、跨学科专业、跨校、跨区域、跨行业的教师动态组织，包括但不限于联合开展协同教学研究与改革实践的虚拟教研室、教学改革研究联盟、课程教学联盟等。研究内容主要包括：深刻理解虚拟教研室建设内涵，提升虚拟教研室负责人基于虚拟教研室平台组织开展教学研究的能力和水平，探索“智能+”时代新型基层教学组织的建设标准、建设路径、运行模式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3.教学团队类基层教学组织。由数名讲授相同或者相似课程的教师按照一定原则组成的教学团队或教学研究团队，包括但不限于教学团队或教学研究团队。研究内容主要包括：基于教学团队的课程建设、课堂教学改革、教学研究等，</w:t>
      </w:r>
      <w:r>
        <w:rPr>
          <w:rFonts w:hint="eastAsia" w:ascii="仿宋_GB2312" w:hAnsi="仿宋_GB2312" w:eastAsia="仿宋_GB2312" w:cs="仿宋_GB2312"/>
          <w:sz w:val="32"/>
          <w:szCs w:val="32"/>
        </w:rPr>
        <w:t>构建发展目标明确、梯队结构合理、具有良好合作精神的教学团队，促进教学研讨和教学经验</w:t>
      </w:r>
      <w:r>
        <w:rPr>
          <w:rFonts w:hint="eastAsia" w:ascii="仿宋_GB2312" w:hAnsi="仿宋_GB2312" w:eastAsia="仿宋_GB2312" w:cs="仿宋_GB2312"/>
          <w:sz w:val="32"/>
          <w:szCs w:val="32"/>
          <w:lang w:val="en-US" w:eastAsia="zh-CN"/>
        </w:rPr>
        <w:t>交流，提高教学质量。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4.实验室类实体型基层教学组织。包括教学实验室和教学实验中心。研究内容主要包括：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面向科学前沿、教学实际、经济发展需求开展创新性研究，提升学校创新能力，推动学科专业建设发展。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面向应用型本科建设，对标行业企业需求，加强学生实践能力培养，提升学生就业优势。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探索从供给侧与需求侧两方面双管齐下，通过“标准化供给”与“灵活满足需求”相结合，推进实验室建设的改革与发展等。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九、实践教学研究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该选题每个学院限报2项。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侧重于改革和完善现有实践教学内容和方式，拓展实践教学内容和模式，提高实践教学质量，培养和提升学生实践能力。</w:t>
      </w:r>
      <w:r>
        <w:rPr>
          <w:rFonts w:hint="eastAsia" w:ascii="仿宋_GB2312" w:hAnsi="仿宋_GB2312" w:eastAsia="仿宋_GB2312" w:cs="仿宋_GB2312"/>
          <w:color w:val="000000"/>
          <w:sz w:val="32"/>
          <w:szCs w:val="32"/>
          <w:lang w:eastAsia="zh-CN"/>
        </w:rPr>
        <w:t>主要包括：</w:t>
      </w:r>
      <w:r>
        <w:rPr>
          <w:rFonts w:hint="eastAsia" w:ascii="仿宋_GB2312" w:hAnsi="仿宋_GB2312" w:eastAsia="仿宋_GB2312" w:cs="仿宋_GB2312"/>
          <w:color w:val="000000"/>
          <w:sz w:val="32"/>
          <w:szCs w:val="32"/>
        </w:rPr>
        <w:t>以学生为中心的实验教学模式改革与实践；探究性实验项目建设的研究与实践；基于虚拟仿真技术的实验教学改革与实践；实验教学中心建设研究与实践；</w:t>
      </w:r>
      <w:r>
        <w:rPr>
          <w:rFonts w:hint="eastAsia" w:ascii="仿宋_GB2312" w:hAnsi="仿宋_GB2312" w:eastAsia="仿宋_GB2312" w:cs="仿宋_GB2312"/>
          <w:color w:val="000000"/>
          <w:kern w:val="0"/>
          <w:sz w:val="32"/>
          <w:szCs w:val="32"/>
          <w:lang w:val="en-US" w:eastAsia="zh-CN" w:bidi="ar"/>
        </w:rPr>
        <w:t>综合性一体化实践教学体系探索与实践</w:t>
      </w:r>
      <w:r>
        <w:rPr>
          <w:rFonts w:hint="eastAsia" w:ascii="仿宋_GB2312" w:hAnsi="仿宋_GB2312" w:eastAsia="仿宋_GB2312" w:cs="仿宋_GB2312"/>
          <w:color w:val="000000"/>
          <w:sz w:val="32"/>
          <w:szCs w:val="32"/>
        </w:rPr>
        <w:t>；毕业设计（论文）模式改革研究等。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十、通识教育核心课程建设</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bCs/>
          <w:color w:val="000000"/>
          <w:sz w:val="32"/>
          <w:szCs w:val="32"/>
          <w:lang w:val="en-US" w:eastAsia="zh-CN"/>
        </w:rPr>
        <w:t xml:space="preserve">  </w:t>
      </w:r>
      <w:r>
        <w:rPr>
          <w:rFonts w:hint="eastAsia" w:ascii="仿宋_GB2312" w:hAnsi="仿宋_GB2312" w:eastAsia="仿宋_GB2312" w:cs="仿宋_GB2312"/>
          <w:b w:val="0"/>
          <w:bCs w:val="0"/>
          <w:color w:val="000000"/>
          <w:sz w:val="32"/>
          <w:szCs w:val="32"/>
          <w:lang w:val="en-US" w:eastAsia="zh-CN"/>
        </w:rPr>
        <w:t xml:space="preserve">  该选题每个学院限报2项。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依托特色学科</w:t>
      </w:r>
      <w:r>
        <w:rPr>
          <w:rFonts w:hint="eastAsia" w:ascii="仿宋_GB2312" w:hAnsi="仿宋_GB2312" w:eastAsia="仿宋_GB2312" w:cs="仿宋_GB2312"/>
          <w:color w:val="000000"/>
          <w:sz w:val="32"/>
          <w:szCs w:val="32"/>
          <w:lang w:eastAsia="zh-CN"/>
        </w:rPr>
        <w:t>和</w:t>
      </w:r>
      <w:r>
        <w:rPr>
          <w:rFonts w:hint="eastAsia" w:ascii="仿宋_GB2312" w:hAnsi="仿宋_GB2312" w:eastAsia="仿宋_GB2312" w:cs="仿宋_GB2312"/>
          <w:color w:val="000000"/>
          <w:sz w:val="32"/>
          <w:szCs w:val="32"/>
        </w:rPr>
        <w:t>优势专业，重点打造通识</w:t>
      </w:r>
      <w:r>
        <w:rPr>
          <w:rFonts w:hint="eastAsia" w:ascii="仿宋_GB2312" w:hAnsi="仿宋_GB2312" w:eastAsia="仿宋_GB2312" w:cs="仿宋_GB2312"/>
          <w:color w:val="000000"/>
          <w:sz w:val="32"/>
          <w:szCs w:val="32"/>
          <w:lang w:eastAsia="zh-CN"/>
        </w:rPr>
        <w:t>选修校本</w:t>
      </w:r>
      <w:r>
        <w:rPr>
          <w:rFonts w:hint="eastAsia" w:ascii="仿宋_GB2312" w:hAnsi="仿宋_GB2312" w:eastAsia="仿宋_GB2312" w:cs="仿宋_GB2312"/>
          <w:color w:val="000000"/>
          <w:sz w:val="32"/>
          <w:szCs w:val="32"/>
        </w:rPr>
        <w:t>品牌</w:t>
      </w:r>
      <w:r>
        <w:rPr>
          <w:rFonts w:hint="eastAsia" w:ascii="仿宋_GB2312" w:hAnsi="仿宋_GB2312" w:eastAsia="仿宋_GB2312" w:cs="仿宋_GB2312"/>
          <w:color w:val="000000"/>
          <w:sz w:val="32"/>
          <w:szCs w:val="32"/>
          <w:lang w:eastAsia="zh-CN"/>
        </w:rPr>
        <w:t>系列化</w:t>
      </w:r>
      <w:r>
        <w:rPr>
          <w:rFonts w:hint="eastAsia" w:ascii="仿宋_GB2312" w:hAnsi="仿宋_GB2312" w:eastAsia="仿宋_GB2312" w:cs="仿宋_GB2312"/>
          <w:color w:val="000000"/>
          <w:sz w:val="32"/>
          <w:szCs w:val="32"/>
        </w:rPr>
        <w:t>课程，建设一批基础扎实、体系完整、层次分明、内容精炼、特色鲜明、团队实力雄厚和可持续发展的</w:t>
      </w:r>
      <w:r>
        <w:rPr>
          <w:rFonts w:hint="eastAsia" w:ascii="仿宋_GB2312" w:hAnsi="仿宋_GB2312" w:eastAsia="仿宋_GB2312" w:cs="仿宋_GB2312"/>
          <w:color w:val="000000"/>
          <w:sz w:val="32"/>
          <w:szCs w:val="32"/>
          <w:lang w:eastAsia="zh-CN"/>
        </w:rPr>
        <w:t>通识选修</w:t>
      </w:r>
      <w:r>
        <w:rPr>
          <w:rFonts w:hint="eastAsia" w:ascii="仿宋_GB2312" w:hAnsi="仿宋_GB2312" w:eastAsia="仿宋_GB2312" w:cs="仿宋_GB2312"/>
          <w:color w:val="000000"/>
          <w:sz w:val="32"/>
          <w:szCs w:val="32"/>
        </w:rPr>
        <w:t>课程。</w:t>
      </w:r>
      <w:r>
        <w:rPr>
          <w:rFonts w:hint="eastAsia" w:ascii="仿宋_GB2312" w:hAnsi="仿宋_GB2312" w:eastAsia="仿宋_GB2312" w:cs="仿宋_GB2312"/>
          <w:color w:val="000000"/>
          <w:sz w:val="32"/>
          <w:szCs w:val="32"/>
          <w:lang w:eastAsia="zh-CN"/>
        </w:rPr>
        <w:t>主要包括：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积极开发党史国史、中华优秀传统文化等德育</w:t>
      </w:r>
      <w:r>
        <w:rPr>
          <w:rFonts w:hint="eastAsia" w:ascii="仿宋_GB2312" w:hAnsi="仿宋_GB2312" w:eastAsia="仿宋_GB2312" w:cs="仿宋_GB2312"/>
          <w:color w:val="000000"/>
          <w:sz w:val="32"/>
          <w:szCs w:val="32"/>
          <w:lang w:eastAsia="zh-CN"/>
        </w:rPr>
        <w:t>、体育、美育、劳动</w:t>
      </w:r>
      <w:r>
        <w:rPr>
          <w:rFonts w:hint="eastAsia" w:ascii="仿宋_GB2312" w:hAnsi="仿宋_GB2312" w:eastAsia="仿宋_GB2312" w:cs="仿宋_GB2312"/>
          <w:color w:val="000000"/>
          <w:sz w:val="32"/>
          <w:szCs w:val="32"/>
        </w:rPr>
        <w:t>教育课程，引导学生树立正确的世界观、价值观，掌握科学的方法论，提高综合素养，实现全面发展</w:t>
      </w:r>
      <w:r>
        <w:rPr>
          <w:rFonts w:hint="eastAsia" w:ascii="仿宋_GB2312" w:hAnsi="仿宋_GB2312" w:eastAsia="仿宋_GB2312" w:cs="仿宋_GB2312"/>
          <w:color w:val="00000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积极开发有利于学生升学、就业、学术研究等方面的课程，以满足学生的个性化需求。</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十一、思想政治理论课建设</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该选题面向马克思主义学院，限报2项。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
        </w:rPr>
        <w:t>全面深化新时代思想政治理论课改革。根据国务院办公厅印</w:t>
      </w:r>
      <w:r>
        <w:rPr>
          <w:rFonts w:hint="eastAsia" w:ascii="仿宋_GB2312" w:hAnsi="仿宋_GB2312" w:eastAsia="仿宋_GB2312" w:cs="仿宋_GB2312"/>
          <w:color w:val="000000"/>
          <w:kern w:val="0"/>
          <w:sz w:val="32"/>
          <w:szCs w:val="32"/>
          <w:lang w:val="en-US" w:eastAsia="zh-CN" w:bidi="ar"/>
        </w:rPr>
        <w:t>发《关于深化新时代学校思想政治理论课改革创新的若干意见》</w:t>
      </w:r>
      <w:r>
        <w:rPr>
          <w:rFonts w:hint="eastAsia" w:ascii="仿宋_GB2312" w:hAnsi="仿宋_GB2312" w:eastAsia="仿宋_GB2312" w:cs="仿宋_GB2312"/>
          <w:color w:val="000000"/>
          <w:kern w:val="2"/>
          <w:sz w:val="32"/>
          <w:szCs w:val="32"/>
          <w:lang w:val="en-US" w:eastAsia="zh-CN" w:bidi="ar-SA"/>
        </w:rPr>
        <w:t>和《高等学校思想政治理论课建设标准（2021年本）》，坚持用习近平新时代中国特色社会主义思想铸魂育人，加强“四个自信”教育，将学习贯彻习近平新时代中国特色社会主义思想体现在课程目标、课程设置和课程教材内容中，实现全覆盖、贯穿全过程。遵循思想政治工作规律、教书育人规律、学生成长规律，结合学生实际生活，优化教学内容，创新教学方法，进一步增强思政课的思想性、理论性和亲和力、针对性，推动思政课在改进中加强、在创新中提高。</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十二、创新创业教育</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该选题每个学院限报2项。</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val="en-US" w:eastAsia="zh-CN"/>
        </w:rPr>
        <w:t>1.专创融合。</w:t>
      </w:r>
      <w:r>
        <w:rPr>
          <w:rFonts w:hint="eastAsia" w:ascii="仿宋_GB2312" w:hAnsi="仿宋_GB2312" w:eastAsia="仿宋_GB2312" w:cs="仿宋_GB2312"/>
          <w:color w:val="000000"/>
          <w:sz w:val="32"/>
          <w:szCs w:val="32"/>
          <w:lang w:eastAsia="zh-CN"/>
        </w:rPr>
        <w:t>贯彻落实</w:t>
      </w:r>
      <w:r>
        <w:rPr>
          <w:rFonts w:hint="eastAsia" w:ascii="仿宋_GB2312" w:hAnsi="仿宋_GB2312" w:eastAsia="仿宋_GB2312" w:cs="仿宋_GB2312"/>
          <w:color w:val="000000"/>
          <w:sz w:val="32"/>
          <w:szCs w:val="32"/>
        </w:rPr>
        <w:t>《国务院办公厅关于深化高等学校创新创业教育改革的实施意见》</w:t>
      </w:r>
      <w:r>
        <w:rPr>
          <w:rFonts w:hint="eastAsia" w:ascii="仿宋_GB2312" w:hAnsi="仿宋_GB2312" w:eastAsia="仿宋_GB2312" w:cs="仿宋_GB2312"/>
          <w:color w:val="000000"/>
          <w:sz w:val="32"/>
          <w:szCs w:val="32"/>
          <w:lang w:eastAsia="zh-CN"/>
        </w:rPr>
        <w:t>精神，</w:t>
      </w:r>
      <w:r>
        <w:rPr>
          <w:rFonts w:hint="eastAsia" w:ascii="仿宋_GB2312" w:hAnsi="仿宋_GB2312" w:eastAsia="仿宋_GB2312" w:cs="仿宋_GB2312"/>
          <w:color w:val="000000"/>
          <w:sz w:val="32"/>
          <w:szCs w:val="32"/>
        </w:rPr>
        <w:t>从顶层设计、管理机制、课程体系建设、教学模式和方法等方面着手，全面深化创新创业教育改革工作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将创新创业教育融入到人才培养全过程，</w:t>
      </w:r>
      <w:r>
        <w:rPr>
          <w:rFonts w:hint="eastAsia" w:ascii="仿宋_GB2312" w:hAnsi="仿宋_GB2312" w:eastAsia="仿宋_GB2312" w:cs="仿宋_GB2312"/>
          <w:color w:val="000000"/>
          <w:sz w:val="32"/>
          <w:szCs w:val="32"/>
          <w:lang w:eastAsia="zh-CN"/>
        </w:rPr>
        <w:t>彻底解决</w:t>
      </w:r>
      <w:r>
        <w:rPr>
          <w:rFonts w:hint="eastAsia" w:ascii="仿宋_GB2312" w:hAnsi="仿宋_GB2312" w:eastAsia="仿宋_GB2312" w:cs="仿宋_GB2312"/>
          <w:color w:val="000000"/>
          <w:sz w:val="32"/>
          <w:szCs w:val="32"/>
        </w:rPr>
        <w:t>专业教育与创新创业教育两张皮现象，</w:t>
      </w:r>
      <w:r>
        <w:rPr>
          <w:rFonts w:hint="eastAsia" w:ascii="仿宋_GB2312" w:hAnsi="仿宋_GB2312" w:eastAsia="仿宋_GB2312" w:cs="仿宋_GB2312"/>
          <w:color w:val="000000"/>
          <w:sz w:val="32"/>
          <w:szCs w:val="32"/>
          <w:lang w:eastAsia="zh-CN"/>
        </w:rPr>
        <w:t>实现</w:t>
      </w:r>
      <w:r>
        <w:rPr>
          <w:rFonts w:hint="eastAsia" w:ascii="仿宋_GB2312" w:hAnsi="仿宋_GB2312" w:eastAsia="仿宋_GB2312" w:cs="仿宋_GB2312"/>
          <w:color w:val="000000"/>
          <w:sz w:val="32"/>
          <w:szCs w:val="32"/>
        </w:rPr>
        <w:t>创新创业与专业理论知识、技能相</w:t>
      </w:r>
      <w:r>
        <w:rPr>
          <w:rFonts w:hint="eastAsia" w:ascii="仿宋_GB2312" w:hAnsi="仿宋_GB2312" w:eastAsia="仿宋_GB2312" w:cs="仿宋_GB2312"/>
          <w:color w:val="000000"/>
          <w:sz w:val="32"/>
          <w:szCs w:val="32"/>
          <w:lang w:eastAsia="zh-CN"/>
        </w:rPr>
        <w:t>融合。</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创新创业赛事实践机制研究。以中国国际“互联网+”大学生创新创业大赛、“挑战杯”中国大学生创业计划竞赛等赛事为依托，深化以赛促建、以赛促改、以赛促教，改革人才培养模式，建立将创新创业能力实践落到实处的平台机制，构建适合本校创新创业赛事实践的管理体系。</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大学生创新创业计划项目管理机制研究。贯彻落实《国务院办公厅关于深化高等学校创新创业教育改革的实施意见》等文件要求，转变高等学校教育思想观念，进一步深化新发展阶段高校创新创业教育改革，针对大学生创新创业训练计划管理机制，规范项目管理过程、训练成果、指导教师的激励机制，探索适合本校协同育人的有效机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十三、其他选题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300"/>
        <w:jc w:val="left"/>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各学院（部门）教育教学工作发展中的重点问题。</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p>
    <w:sectPr>
      <w:pgSz w:w="11906" w:h="16838"/>
      <w:pgMar w:top="1440" w:right="1800" w:bottom="1440" w:left="1800"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1F6DC8-6C25-44B1-B8D7-3DAD642395D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28B8556-3C51-434E-A7C0-50851B61AC0F}"/>
  </w:font>
  <w:font w:name="方正小标宋简体">
    <w:panose1 w:val="02000000000000000000"/>
    <w:charset w:val="86"/>
    <w:family w:val="auto"/>
    <w:pitch w:val="default"/>
    <w:sig w:usb0="00000001" w:usb1="08000000" w:usb2="00000000" w:usb3="00000000" w:csb0="00040000" w:csb1="00000000"/>
    <w:embedRegular r:id="rId3" w:fontKey="{94F75CD2-862C-4591-A143-5FC52213F443}"/>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iZmUwNTI5ZWVhNjFhOWJlMWY1YzBiZjRjODAzYjIifQ=="/>
  </w:docVars>
  <w:rsids>
    <w:rsidRoot w:val="73BF6FE9"/>
    <w:rsid w:val="02692C06"/>
    <w:rsid w:val="034321D6"/>
    <w:rsid w:val="0B1F2030"/>
    <w:rsid w:val="0B582596"/>
    <w:rsid w:val="0DA50E01"/>
    <w:rsid w:val="10A52D92"/>
    <w:rsid w:val="13C9021C"/>
    <w:rsid w:val="15A765F4"/>
    <w:rsid w:val="173253C1"/>
    <w:rsid w:val="19120A66"/>
    <w:rsid w:val="19766A09"/>
    <w:rsid w:val="1FA15141"/>
    <w:rsid w:val="208C7D22"/>
    <w:rsid w:val="21A41C3A"/>
    <w:rsid w:val="23890F29"/>
    <w:rsid w:val="2738420B"/>
    <w:rsid w:val="27BC21FA"/>
    <w:rsid w:val="28685E58"/>
    <w:rsid w:val="287A55EE"/>
    <w:rsid w:val="2B094197"/>
    <w:rsid w:val="2DA74F8B"/>
    <w:rsid w:val="2DEE2BBA"/>
    <w:rsid w:val="33097C22"/>
    <w:rsid w:val="34963664"/>
    <w:rsid w:val="36D861B6"/>
    <w:rsid w:val="376411BA"/>
    <w:rsid w:val="3809239F"/>
    <w:rsid w:val="392F4273"/>
    <w:rsid w:val="3BB52F69"/>
    <w:rsid w:val="3E8D1A05"/>
    <w:rsid w:val="45FD0224"/>
    <w:rsid w:val="46B645F5"/>
    <w:rsid w:val="477D15A8"/>
    <w:rsid w:val="4F560168"/>
    <w:rsid w:val="53673A3C"/>
    <w:rsid w:val="544744A5"/>
    <w:rsid w:val="54D14AB4"/>
    <w:rsid w:val="55C37BD9"/>
    <w:rsid w:val="562A4684"/>
    <w:rsid w:val="56B57E6A"/>
    <w:rsid w:val="5AB454C5"/>
    <w:rsid w:val="5E661331"/>
    <w:rsid w:val="5FC95D17"/>
    <w:rsid w:val="64A00449"/>
    <w:rsid w:val="66A17AC3"/>
    <w:rsid w:val="6A4F330B"/>
    <w:rsid w:val="6A7107F4"/>
    <w:rsid w:val="6DFF4760"/>
    <w:rsid w:val="72D15A1F"/>
    <w:rsid w:val="73BF6FE9"/>
    <w:rsid w:val="74E87374"/>
    <w:rsid w:val="777D3E7E"/>
    <w:rsid w:val="779E36DC"/>
    <w:rsid w:val="7C393FF1"/>
    <w:rsid w:val="7CAE6CCD"/>
    <w:rsid w:val="7E096EBE"/>
    <w:rsid w:val="7E4E7198"/>
    <w:rsid w:val="7F1B6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3401</Words>
  <Characters>3414</Characters>
  <Lines>0</Lines>
  <Paragraphs>0</Paragraphs>
  <TotalTime>2</TotalTime>
  <ScaleCrop>false</ScaleCrop>
  <LinksUpToDate>false</LinksUpToDate>
  <CharactersWithSpaces>3424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2023-06-14T11:23:00Z</dcterms:created>
  <dc:creator>Administrator</dc:creator>
  <cp:lastModifiedBy>Administrator</cp:lastModifiedBy>
  <dcterms:modified xsi:type="dcterms:W3CDTF">2024-06-19T05:10:44Z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F91F69564C3447B2A81D9BE796C2C7BE_13</vt:lpwstr>
  </property>
</Properties>
</file>