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Theme="majorEastAsia" w:hAnsiTheme="majorEastAsia" w:eastAsiaTheme="majorEastAsia" w:cstheme="majorEastAsia"/>
          <w:sz w:val="52"/>
          <w:szCs w:val="72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52"/>
          <w:szCs w:val="72"/>
          <w:lang w:val="en-US" w:eastAsia="zh-CN"/>
        </w:rPr>
        <w:t>实习负责人操作指南</w:t>
      </w:r>
    </w:p>
    <w:p>
      <w:pPr>
        <w:numPr>
          <w:ilvl w:val="0"/>
          <w:numId w:val="1"/>
        </w:numPr>
        <w:bidi w:val="0"/>
        <w:jc w:val="left"/>
        <w:rPr>
          <w:rFonts w:hint="eastAsia" w:ascii="楷体" w:hAnsi="楷体" w:eastAsia="楷体" w:cs="楷体"/>
          <w:kern w:val="2"/>
          <w:sz w:val="40"/>
          <w:szCs w:val="40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40"/>
          <w:szCs w:val="40"/>
          <w:lang w:val="en-US" w:eastAsia="zh-CN" w:bidi="ar-SA"/>
        </w:rPr>
        <w:t>网页端操作</w:t>
      </w:r>
    </w:p>
    <w:p>
      <w:pPr>
        <w:numPr>
          <w:ilvl w:val="0"/>
          <w:numId w:val="0"/>
        </w:numPr>
        <w:bidi w:val="0"/>
        <w:ind w:left="-15" w:leftChars="-7" w:firstLine="15" w:firstLineChars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1、登录账号（在浏览器中打开www.xybsyw.com，官网首页右上角点击“教师登录”，选择您要登录的学校，输入账号和密码直接登录/或选择扫码登录使用小程序教师端扫码）</w:t>
      </w:r>
    </w:p>
    <w:p>
      <w:pPr>
        <w:numPr>
          <w:ilvl w:val="0"/>
          <w:numId w:val="0"/>
        </w:numPr>
        <w:bidi w:val="0"/>
        <w:ind w:left="0" w:leftChars="0" w:firstLine="0" w:firstLineChars="0"/>
        <w:jc w:val="left"/>
        <w:rPr>
          <w:rFonts w:hint="default"/>
          <w:lang w:val="en-US" w:eastAsia="zh-CN"/>
        </w:rPr>
      </w:pPr>
      <w:r>
        <w:rPr>
          <w:rFonts w:hint="eastAsia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  <w:t>温馨提示：第一次登录</w:t>
      </w:r>
      <w:bookmarkStart w:id="0" w:name="_GoBack"/>
      <w:bookmarkEnd w:id="0"/>
      <w:r>
        <w:rPr>
          <w:rFonts w:hint="eastAsia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  <w:t>时需绑定手机，并重设密码。绑定手机以便忘记密码时可自行重置。</w:t>
      </w:r>
    </w:p>
    <w:p>
      <w:pPr>
        <w:numPr>
          <w:ilvl w:val="0"/>
          <w:numId w:val="0"/>
        </w:numPr>
        <w:bidi w:val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22225</wp:posOffset>
            </wp:positionH>
            <wp:positionV relativeFrom="paragraph">
              <wp:posOffset>1684655</wp:posOffset>
            </wp:positionV>
            <wp:extent cx="5257800" cy="2483485"/>
            <wp:effectExtent l="0" t="0" r="0" b="12065"/>
            <wp:wrapSquare wrapText="bothSides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483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-21590</wp:posOffset>
            </wp:positionH>
            <wp:positionV relativeFrom="paragraph">
              <wp:posOffset>69215</wp:posOffset>
            </wp:positionV>
            <wp:extent cx="5304790" cy="1458595"/>
            <wp:effectExtent l="0" t="0" r="10160" b="8255"/>
            <wp:wrapSquare wrapText="bothSides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rcRect r="670"/>
                    <a:stretch>
                      <a:fillRect/>
                    </a:stretch>
                  </pic:blipFill>
                  <pic:spPr>
                    <a:xfrm>
                      <a:off x="0" y="0"/>
                      <a:ext cx="5304790" cy="14585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 xml:space="preserve">         </w:t>
      </w:r>
    </w:p>
    <w:p>
      <w:pPr>
        <w:numPr>
          <w:ilvl w:val="0"/>
          <w:numId w:val="2"/>
        </w:numPr>
        <w:bidi w:val="0"/>
        <w:ind w:left="0" w:leftChars="0" w:firstLine="0" w:firstLineChars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实习计划设置（点击导航栏“实践教学”，选择“实习计划”，点“创建计划”，根据提示进行计划设置）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69230" cy="2553335"/>
            <wp:effectExtent l="0" t="0" r="7620" b="18415"/>
            <wp:docPr id="1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5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</w:p>
    <w:p>
      <w:pPr>
        <w:numPr>
          <w:ilvl w:val="0"/>
          <w:numId w:val="0"/>
        </w:numPr>
        <w:bidi w:val="0"/>
        <w:ind w:leftChars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2.1、计划详情设置</w:t>
      </w:r>
    </w:p>
    <w:p>
      <w:pPr>
        <w:numPr>
          <w:ilvl w:val="0"/>
          <w:numId w:val="0"/>
        </w:numPr>
        <w:bidi w:val="0"/>
        <w:ind w:left="0" w:leftChars="0" w:firstLine="0" w:firstLineChars="0"/>
        <w:jc w:val="left"/>
        <w:rPr>
          <w:rFonts w:hint="default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  <w:t>温馨提示：</w:t>
      </w:r>
      <w:r>
        <w:rPr>
          <w:rFonts w:hint="default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  <w:t>标*号为必填项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66690" cy="3206750"/>
            <wp:effectExtent l="0" t="0" r="10160" b="12700"/>
            <wp:docPr id="25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0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</w:p>
    <w:p>
      <w:pPr>
        <w:numPr>
          <w:ilvl w:val="0"/>
          <w:numId w:val="0"/>
        </w:numPr>
        <w:bidi w:val="0"/>
        <w:ind w:leftChars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2.2、实习要求设置</w:t>
      </w:r>
    </w:p>
    <w:p>
      <w:pPr>
        <w:numPr>
          <w:ilvl w:val="0"/>
          <w:numId w:val="0"/>
        </w:numPr>
        <w:bidi w:val="0"/>
        <w:ind w:left="0" w:leftChars="0" w:firstLine="0" w:firstLineChars="0"/>
        <w:jc w:val="left"/>
        <w:rPr>
          <w:rFonts w:hint="eastAsia" w:ascii="楷体" w:hAnsi="楷体" w:eastAsia="楷体" w:cs="楷体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  <w:t>温馨提示：1.第一步“计划”里点下一步或实习要求，会直接进入到设置实习要求界面，无需返回此页面进入实习要求设置；2.白底按钮表示未操作，蓝底按钮表示已完成。</w:t>
      </w:r>
    </w:p>
    <w:p>
      <w:pPr>
        <w:numPr>
          <w:ilvl w:val="0"/>
          <w:numId w:val="0"/>
        </w:numPr>
        <w:bidi w:val="0"/>
        <w:ind w:leftChars="0"/>
        <w:jc w:val="left"/>
      </w:pPr>
      <w:r>
        <w:drawing>
          <wp:inline distT="0" distB="0" distL="114300" distR="114300">
            <wp:extent cx="5270500" cy="2540635"/>
            <wp:effectExtent l="0" t="0" r="6350" b="12065"/>
            <wp:docPr id="24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54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left"/>
      </w:pPr>
    </w:p>
    <w:p>
      <w:pPr>
        <w:numPr>
          <w:ilvl w:val="0"/>
          <w:numId w:val="0"/>
        </w:numPr>
        <w:bidi w:val="0"/>
        <w:ind w:leftChars="0"/>
        <w:jc w:val="left"/>
      </w:pPr>
      <w:r>
        <w:drawing>
          <wp:inline distT="0" distB="0" distL="114300" distR="114300">
            <wp:extent cx="5264785" cy="2519680"/>
            <wp:effectExtent l="0" t="0" r="12065" b="13970"/>
            <wp:docPr id="26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left"/>
      </w:pPr>
    </w:p>
    <w:p>
      <w:pPr>
        <w:numPr>
          <w:ilvl w:val="0"/>
          <w:numId w:val="0"/>
        </w:numPr>
        <w:bidi w:val="0"/>
        <w:ind w:leftChars="0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2469515"/>
            <wp:effectExtent l="0" t="0" r="4445" b="6985"/>
            <wp:docPr id="23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6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br w:type="page"/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default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2.3、实习项目设置</w:t>
      </w:r>
    </w:p>
    <w:p>
      <w:pPr>
        <w:numPr>
          <w:ilvl w:val="0"/>
          <w:numId w:val="0"/>
        </w:numPr>
        <w:bidi w:val="0"/>
        <w:ind w:left="0" w:leftChars="0" w:firstLine="0" w:firstLineChars="0"/>
        <w:jc w:val="left"/>
        <w:rPr>
          <w:rFonts w:hint="eastAsia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  <w:t>温馨提示：1.第二步“要求”里点下一步或设置项目，会直接进入到设置实习项目界面，无需返回此页面进入实习项目设置；2.白底按钮表示未操作，蓝底按钮表示已完成。</w:t>
      </w:r>
    </w:p>
    <w:p>
      <w:pPr>
        <w:numPr>
          <w:ilvl w:val="0"/>
          <w:numId w:val="0"/>
        </w:numPr>
        <w:bidi w:val="0"/>
        <w:ind w:left="0" w:leftChars="0" w:firstLine="0" w:firstLineChars="0"/>
        <w:jc w:val="left"/>
      </w:pPr>
      <w:r>
        <w:drawing>
          <wp:inline distT="0" distB="0" distL="114300" distR="114300">
            <wp:extent cx="5265420" cy="2538730"/>
            <wp:effectExtent l="0" t="0" r="11430" b="13970"/>
            <wp:docPr id="27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3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</w:p>
    <w:p>
      <w:pPr>
        <w:numPr>
          <w:ilvl w:val="0"/>
          <w:numId w:val="0"/>
        </w:numPr>
        <w:bidi w:val="0"/>
        <w:ind w:leftChars="0"/>
        <w:jc w:val="left"/>
        <w:rPr>
          <w:rFonts w:hint="default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2.3.1、自主形式设置</w:t>
      </w:r>
    </w:p>
    <w:p>
      <w:pPr>
        <w:numPr>
          <w:ilvl w:val="0"/>
          <w:numId w:val="0"/>
        </w:numPr>
        <w:bidi w:val="0"/>
        <w:ind w:left="0" w:leftChars="0" w:firstLine="0" w:firstLineChars="0"/>
        <w:jc w:val="left"/>
      </w:pPr>
      <w:r>
        <w:drawing>
          <wp:inline distT="0" distB="0" distL="114300" distR="114300">
            <wp:extent cx="5267325" cy="2494915"/>
            <wp:effectExtent l="0" t="0" r="9525" b="635"/>
            <wp:docPr id="29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4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</w:p>
    <w:p>
      <w:pPr>
        <w:numPr>
          <w:ilvl w:val="0"/>
          <w:numId w:val="0"/>
        </w:numPr>
        <w:bidi w:val="0"/>
        <w:ind w:leftChars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2.3.2、集中形式设置</w:t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  <w:t>温馨提示：批量导入，下载模板后，请严格按照提示说明填写，如还有问题，可直接联系校友邦服务人员</w:t>
      </w:r>
    </w:p>
    <w:p>
      <w:pPr>
        <w:numPr>
          <w:ilvl w:val="0"/>
          <w:numId w:val="0"/>
        </w:numPr>
        <w:bidi w:val="0"/>
        <w:ind w:left="0" w:leftChars="0" w:firstLine="0" w:firstLineChars="0"/>
        <w:jc w:val="left"/>
      </w:pPr>
      <w:r>
        <w:drawing>
          <wp:inline distT="0" distB="0" distL="114300" distR="114300">
            <wp:extent cx="5266055" cy="2384425"/>
            <wp:effectExtent l="0" t="0" r="10795" b="15875"/>
            <wp:docPr id="30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38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="0" w:leftChars="0" w:firstLine="0" w:firstLineChars="0"/>
        <w:jc w:val="left"/>
      </w:pPr>
      <w:r>
        <w:drawing>
          <wp:inline distT="0" distB="0" distL="114300" distR="114300">
            <wp:extent cx="5273675" cy="2512060"/>
            <wp:effectExtent l="0" t="0" r="3175" b="2540"/>
            <wp:docPr id="31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51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="0" w:leftChars="0" w:firstLine="0" w:firstLineChars="0"/>
        <w:jc w:val="left"/>
        <w:rPr>
          <w:rFonts w:hint="default"/>
          <w:lang w:val="en-US" w:eastAsia="zh-CN"/>
        </w:rPr>
      </w:pPr>
      <w:r>
        <w:drawing>
          <wp:inline distT="0" distB="0" distL="114300" distR="114300">
            <wp:extent cx="5270500" cy="2503805"/>
            <wp:effectExtent l="0" t="0" r="6350" b="10795"/>
            <wp:docPr id="32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503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2.3.3、双向形式设置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72405" cy="3173095"/>
            <wp:effectExtent l="0" t="0" r="4445" b="8255"/>
            <wp:docPr id="33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17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</w:p>
    <w:p>
      <w:pPr>
        <w:numPr>
          <w:ilvl w:val="0"/>
          <w:numId w:val="0"/>
        </w:numPr>
        <w:bidi w:val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2.4、关联指导老师</w:t>
      </w:r>
    </w:p>
    <w:p>
      <w:pPr>
        <w:numPr>
          <w:ilvl w:val="0"/>
          <w:numId w:val="0"/>
        </w:numPr>
        <w:bidi w:val="0"/>
        <w:jc w:val="left"/>
        <w:rPr>
          <w:rFonts w:hint="default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2.4.1单个关联指导老师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71135" cy="3160395"/>
            <wp:effectExtent l="0" t="0" r="5715" b="1905"/>
            <wp:docPr id="34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160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jc w:val="left"/>
      </w:pPr>
    </w:p>
    <w:p>
      <w:r>
        <w:br w:type="page"/>
      </w:r>
    </w:p>
    <w:p>
      <w:pPr>
        <w:numPr>
          <w:ilvl w:val="0"/>
          <w:numId w:val="0"/>
        </w:numPr>
        <w:bidi w:val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2.4.2批量关联指导老师</w:t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default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  <w:t>温馨提示：批量导入，下载模板后，请严格按照提示说明填写，如还有问题，可直接联系校友邦服务人员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68595" cy="2413635"/>
            <wp:effectExtent l="0" t="0" r="8255" b="5715"/>
            <wp:docPr id="35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1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jc w:val="left"/>
      </w:pP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73675" cy="2476500"/>
            <wp:effectExtent l="0" t="0" r="3175" b="0"/>
            <wp:docPr id="36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jc w:val="left"/>
      </w:pPr>
    </w:p>
    <w:p>
      <w:pPr>
        <w:numPr>
          <w:ilvl w:val="0"/>
          <w:numId w:val="2"/>
        </w:numPr>
        <w:bidi w:val="0"/>
        <w:ind w:left="0" w:leftChars="0" w:firstLine="0" w:firstLineChars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实践基地管理（点击导航栏“基地/实习点”，选择添加“实践基地”或者“实习点”，单独新增或批量导入）</w:t>
      </w:r>
    </w:p>
    <w:p>
      <w:pPr>
        <w:numPr>
          <w:ilvl w:val="0"/>
          <w:numId w:val="0"/>
        </w:numPr>
        <w:bidi w:val="0"/>
        <w:ind w:leftChars="0"/>
        <w:jc w:val="left"/>
      </w:pPr>
      <w:r>
        <w:drawing>
          <wp:inline distT="0" distB="0" distL="114300" distR="114300">
            <wp:extent cx="5270500" cy="2534285"/>
            <wp:effectExtent l="0" t="0" r="6350" b="18415"/>
            <wp:docPr id="37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left"/>
      </w:pPr>
    </w:p>
    <w:p>
      <w:pPr>
        <w:numPr>
          <w:ilvl w:val="0"/>
          <w:numId w:val="0"/>
        </w:numPr>
        <w:bidi w:val="0"/>
        <w:ind w:leftChars="0"/>
        <w:jc w:val="left"/>
      </w:pPr>
      <w:r>
        <w:drawing>
          <wp:inline distT="0" distB="0" distL="114300" distR="114300">
            <wp:extent cx="5272405" cy="2543810"/>
            <wp:effectExtent l="0" t="0" r="4445" b="8890"/>
            <wp:docPr id="38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54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bidi w:val="0"/>
        <w:ind w:leftChars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drawing>
          <wp:inline distT="0" distB="0" distL="114300" distR="114300">
            <wp:extent cx="5271770" cy="2426970"/>
            <wp:effectExtent l="0" t="0" r="5080" b="11430"/>
            <wp:docPr id="39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426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bidi w:val="0"/>
        <w:ind w:left="0" w:leftChars="0" w:firstLine="0" w:firstLineChars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查看统计报表（点击导航栏“统计报表”,选择需要查看的统计报表，按条件筛选后可导出，跳转到下载中心进行下载）</w:t>
      </w:r>
    </w:p>
    <w:p>
      <w:pPr>
        <w:numPr>
          <w:ilvl w:val="0"/>
          <w:numId w:val="0"/>
        </w:numPr>
        <w:bidi w:val="0"/>
        <w:ind w:left="0" w:leftChars="0" w:firstLine="0" w:firstLineChars="0"/>
        <w:jc w:val="left"/>
        <w:rPr>
          <w:rFonts w:hint="eastAsia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  <w:t>温馨提示：到下载中心下载时，如果表格较大，报表下载状态会显示“报表生成中”，请等待片刻即可。如长时间还是显示“报表生成中”，可按键盘“F5”键，刷新网页。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73040" cy="2523490"/>
            <wp:effectExtent l="0" t="0" r="3810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2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jc w:val="left"/>
      </w:pPr>
    </w:p>
    <w:p>
      <w:pPr>
        <w:numPr>
          <w:ilvl w:val="0"/>
          <w:numId w:val="0"/>
        </w:numPr>
        <w:bidi w:val="0"/>
        <w:jc w:val="left"/>
      </w:pPr>
    </w:p>
    <w:p>
      <w:pPr>
        <w:numPr>
          <w:ilvl w:val="0"/>
          <w:numId w:val="0"/>
        </w:numPr>
        <w:bidi w:val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5、发布公告（点击右上角“公告消息”，选择“学校公告”，点击“发布公告”，即可填写内容发布）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67325" cy="2708910"/>
            <wp:effectExtent l="0" t="0" r="9525" b="152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0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46370" cy="3626485"/>
            <wp:effectExtent l="0" t="0" r="11430" b="1206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46370" cy="362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</w:p>
    <w:p>
      <w:pP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6、问卷调查（点击导航栏“问卷调查”，点“创建问卷”，可设置单选、多选、打分、问答等各种题型，系统会自动统计问卷结果，并可导出）</w:t>
      </w:r>
    </w:p>
    <w:p>
      <w:pPr>
        <w:numPr>
          <w:ilvl w:val="0"/>
          <w:numId w:val="0"/>
        </w:numPr>
        <w:bidi w:val="0"/>
        <w:ind w:leftChars="0"/>
        <w:jc w:val="left"/>
      </w:pPr>
      <w:r>
        <w:drawing>
          <wp:inline distT="0" distB="0" distL="114300" distR="114300">
            <wp:extent cx="5267325" cy="2679700"/>
            <wp:effectExtent l="0" t="0" r="9525" b="635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26"/>
                    <a:srcRect b="1078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67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/>
          <w:lang w:val="en-US" w:eastAsia="zh-CN"/>
        </w:rPr>
      </w:pPr>
    </w:p>
    <w:p>
      <w:pP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br w:type="page"/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  <w:t>7、实习保险（点击导航栏“实习保险”，可选择适合的方案进行下单）</w:t>
      </w:r>
    </w:p>
    <w:p>
      <w:pPr>
        <w:numPr>
          <w:ilvl w:val="0"/>
          <w:numId w:val="0"/>
        </w:numPr>
        <w:bidi w:val="0"/>
        <w:ind w:left="0" w:leftChars="0" w:firstLine="0" w:firstLineChars="0"/>
        <w:jc w:val="left"/>
        <w:rPr>
          <w:rFonts w:hint="eastAsia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  <w:t>“实习无忧”综合保险由中国人民保险公司（PICC)承保。主要优势：</w:t>
      </w:r>
    </w:p>
    <w:p>
      <w:pPr>
        <w:numPr>
          <w:ilvl w:val="0"/>
          <w:numId w:val="0"/>
        </w:numPr>
        <w:bidi w:val="0"/>
        <w:ind w:left="0" w:leftChars="0" w:firstLine="0" w:firstLineChars="0"/>
        <w:jc w:val="left"/>
        <w:rPr>
          <w:rFonts w:hint="eastAsia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  <w:t>1、线上投保操作便捷，数据收集、汇总全面准确；</w:t>
      </w:r>
    </w:p>
    <w:p>
      <w:pPr>
        <w:numPr>
          <w:ilvl w:val="0"/>
          <w:numId w:val="0"/>
        </w:numPr>
        <w:bidi w:val="0"/>
        <w:ind w:left="0" w:leftChars="0" w:firstLine="0" w:firstLineChars="0"/>
        <w:jc w:val="left"/>
        <w:rPr>
          <w:rFonts w:hint="eastAsia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  <w:t>2、保险套餐灵活多样，适用于各类型实习和风险系数高的高危行业等；</w:t>
      </w:r>
    </w:p>
    <w:p>
      <w:pPr>
        <w:numPr>
          <w:ilvl w:val="0"/>
          <w:numId w:val="0"/>
        </w:numPr>
        <w:bidi w:val="0"/>
        <w:ind w:left="0" w:leftChars="0" w:firstLine="0" w:firstLineChars="0"/>
        <w:jc w:val="left"/>
        <w:rPr>
          <w:rFonts w:hint="eastAsia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  <w:t>3、性价比高；</w:t>
      </w:r>
    </w:p>
    <w:p>
      <w:pPr>
        <w:numPr>
          <w:ilvl w:val="0"/>
          <w:numId w:val="0"/>
        </w:numPr>
        <w:bidi w:val="0"/>
        <w:ind w:left="0" w:leftChars="0" w:firstLine="0" w:firstLineChars="0"/>
        <w:jc w:val="left"/>
        <w:rPr>
          <w:rFonts w:hint="eastAsia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</w:pPr>
      <w:r>
        <w:rPr>
          <w:rFonts w:hint="eastAsia" w:ascii="楷体" w:hAnsi="楷体" w:eastAsia="楷体" w:cs="楷体"/>
          <w:color w:val="FF0000"/>
          <w:kern w:val="2"/>
          <w:sz w:val="32"/>
          <w:szCs w:val="32"/>
          <w:lang w:val="en-US" w:eastAsia="zh-CN" w:bidi="ar-SA"/>
        </w:rPr>
        <w:t>4、保障全面，投保、出险适用于全国范围，包括意外身故伤残，意外门急诊、 住院，交通工具给付等；</w:t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 w:ascii="楷体" w:hAnsi="楷体" w:eastAsia="楷体" w:cs="楷体"/>
          <w:kern w:val="2"/>
          <w:sz w:val="32"/>
          <w:szCs w:val="32"/>
          <w:lang w:val="en-US" w:eastAsia="zh-CN" w:bidi="ar-SA"/>
        </w:rPr>
      </w:pP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4658995</wp:posOffset>
                </wp:positionH>
                <wp:positionV relativeFrom="paragraph">
                  <wp:posOffset>875030</wp:posOffset>
                </wp:positionV>
                <wp:extent cx="234950" cy="257810"/>
                <wp:effectExtent l="86995" t="38100" r="59055" b="85090"/>
                <wp:wrapNone/>
                <wp:docPr id="11" name="直接箭头连接符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4950" cy="25781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  <a:effectLst>
                          <a:glow rad="76200">
                            <a:schemeClr val="accent3">
                              <a:satMod val="175000"/>
                              <a:alpha val="91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6" o:spid="_x0000_s1026" o:spt="32" type="#_x0000_t32" style="position:absolute;left:0pt;flip:y;margin-left:366.85pt;margin-top:68.9pt;height:20.3pt;width:18.5pt;z-index:251662336;mso-width-relative:page;mso-height-relative:page;" filled="f" stroked="t" coordsize="21600,21600" o:gfxdata="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CESzoraAAAACwEAAA8A&#10;AAAAAAAAAQAgAAAAIgAAAGRycy9kb3ducmV2LnhtbFBLAQIUABQAAAAIAIdO4kBgUU64TgIAAHsE&#10;AAAOAAAAAAAAAAEAIAAAACkBAABkcnMvZTJvRG9jLnhtbFBLBQYAAAAABgAGAFkBAADpBQAAAAA=&#10;">
                <v:fill on="f" focussize="0,0"/>
                <v:stroke weight="2.25pt" color="#FF0000 [3204]" miterlimit="8" joinstyle="miter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1531620</wp:posOffset>
                </wp:positionH>
                <wp:positionV relativeFrom="paragraph">
                  <wp:posOffset>627380</wp:posOffset>
                </wp:positionV>
                <wp:extent cx="279400" cy="295910"/>
                <wp:effectExtent l="76200" t="57150" r="101600" b="104140"/>
                <wp:wrapNone/>
                <wp:docPr id="10" name="直接箭头连接符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79400" cy="29591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  <a:effectLst>
                          <a:glow rad="76200">
                            <a:schemeClr val="accent3">
                              <a:satMod val="175000"/>
                              <a:alpha val="91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6" o:spid="_x0000_s1026" o:spt="32" type="#_x0000_t32" style="position:absolute;left:0pt;flip:x y;margin-left:120.6pt;margin-top:49.4pt;height:23.3pt;width:22pt;z-index:251661312;mso-width-relative:page;mso-height-relative:page;" filled="f" stroked="t" coordsize="21600,21600" o:gfxdata="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">
                <v:fill on="f" focussize="0,0"/>
                <v:stroke weight="2.25pt" color="#FF0000 [3204]" miterlimit="8" joinstyle="miter" endarrow="block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5260975" cy="2671445"/>
            <wp:effectExtent l="0" t="0" r="15875" b="1460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bidi w:val="0"/>
        <w:jc w:val="left"/>
      </w:pPr>
    </w:p>
    <w:p>
      <w:pPr>
        <w:widowControl w:val="0"/>
        <w:numPr>
          <w:ilvl w:val="0"/>
          <w:numId w:val="0"/>
        </w:numPr>
        <w:bidi w:val="0"/>
        <w:jc w:val="both"/>
        <w:rPr>
          <w:rFonts w:hint="default" w:ascii="楷体" w:hAnsi="楷体" w:eastAsia="楷体" w:cs="楷体"/>
          <w:kern w:val="2"/>
          <w:sz w:val="32"/>
          <w:szCs w:val="32"/>
          <w:lang w:val="en-US" w:eastAsia="zh-CN" w:bidi="ar-S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8FC7186"/>
    <w:multiLevelType w:val="singleLevel"/>
    <w:tmpl w:val="E8FC7186"/>
    <w:lvl w:ilvl="0" w:tentative="0">
      <w:start w:val="2"/>
      <w:numFmt w:val="decimal"/>
      <w:suff w:val="nothing"/>
      <w:lvlText w:val="%1、"/>
      <w:lvlJc w:val="left"/>
    </w:lvl>
  </w:abstractNum>
  <w:abstractNum w:abstractNumId="1">
    <w:nsid w:val="404488BB"/>
    <w:multiLevelType w:val="singleLevel"/>
    <w:tmpl w:val="404488BB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U0MGQ1OGRiM2Q4NzdiYmViY2VmNzFlMTQ1Njg3MDkifQ=="/>
  </w:docVars>
  <w:rsids>
    <w:rsidRoot w:val="72AC4723"/>
    <w:rsid w:val="13AC5D4D"/>
    <w:rsid w:val="1C4F3541"/>
    <w:rsid w:val="21313216"/>
    <w:rsid w:val="2BC13EA3"/>
    <w:rsid w:val="36F200A1"/>
    <w:rsid w:val="3E0445AD"/>
    <w:rsid w:val="43ED5A15"/>
    <w:rsid w:val="47170634"/>
    <w:rsid w:val="4A5F5D04"/>
    <w:rsid w:val="4F17419D"/>
    <w:rsid w:val="6821645F"/>
    <w:rsid w:val="6BBC153B"/>
    <w:rsid w:val="71FC02A3"/>
    <w:rsid w:val="72AC47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0" Type="http://schemas.openxmlformats.org/officeDocument/2006/relationships/fontTable" Target="fontTable.xml"/><Relationship Id="rId3" Type="http://schemas.openxmlformats.org/officeDocument/2006/relationships/theme" Target="theme/theme1.xml"/><Relationship Id="rId29" Type="http://schemas.openxmlformats.org/officeDocument/2006/relationships/numbering" Target="numbering.xml"/><Relationship Id="rId28" Type="http://schemas.openxmlformats.org/officeDocument/2006/relationships/customXml" Target="../customXml/item1.xml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959</Words>
  <Characters>1010</Characters>
  <Lines>0</Lines>
  <Paragraphs>0</Paragraphs>
  <TotalTime>6</TotalTime>
  <ScaleCrop>false</ScaleCrop>
  <LinksUpToDate>false</LinksUpToDate>
  <CharactersWithSpaces>1020</CharactersWithSpaces>
  <Application>WPS Office_11.1.0.11875_F1E327BC-269C-435d-A152-05C5408002CA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2022-07-27T01:12:00Z</dcterms:created>
  <dc:creator>心凉的感觉</dc:creator>
  <cp:lastModifiedBy>admin1</cp:lastModifiedBy>
  <dcterms:modified xsi:type="dcterms:W3CDTF">2022-07-28T08:10:34Z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2052-11.1.0.11875</vt:lpwstr>
  </property>
  <property fmtid="{D5CDD505-2E9C-101B-9397-08002B2CF9AE}" pid="3" name="ICV">
    <vt:lpwstr>ED0D2A3FC97C4E4EB132C743C71BCA1E</vt:lpwstr>
  </property>
</Properties>
</file>